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636"/>
        <w:tblW w:w="5000" w:type="pct"/>
        <w:tblLook w:val="04A0"/>
      </w:tblPr>
      <w:tblGrid>
        <w:gridCol w:w="412"/>
        <w:gridCol w:w="13808"/>
      </w:tblGrid>
      <w:tr w:rsidR="00DE11D4" w:rsidRPr="00F237C7" w:rsidTr="00DE11D4">
        <w:tc>
          <w:tcPr>
            <w:tcW w:w="145" w:type="pct"/>
            <w:shd w:val="clear" w:color="auto" w:fill="BDD6EE" w:themeFill="accent1" w:themeFillTint="66"/>
          </w:tcPr>
          <w:p w:rsidR="00DE11D4" w:rsidRPr="00F237C7" w:rsidRDefault="00DE11D4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:rsidR="00DE11D4" w:rsidRPr="00F237C7" w:rsidRDefault="00DE11D4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DE11D4" w:rsidRPr="00F237C7" w:rsidTr="00DE11D4">
        <w:tc>
          <w:tcPr>
            <w:tcW w:w="145" w:type="pct"/>
          </w:tcPr>
          <w:p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DE11D4" w:rsidRPr="00F237C7" w:rsidTr="00DE11D4">
        <w:tc>
          <w:tcPr>
            <w:tcW w:w="145" w:type="pct"/>
          </w:tcPr>
          <w:p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DE11D4" w:rsidRPr="00F237C7" w:rsidTr="00DE11D4">
        <w:tc>
          <w:tcPr>
            <w:tcW w:w="145" w:type="pct"/>
          </w:tcPr>
          <w:p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  <w:tr w:rsidR="00DE11D4" w:rsidRPr="00F237C7" w:rsidTr="00DE11D4">
        <w:tc>
          <w:tcPr>
            <w:tcW w:w="145" w:type="pct"/>
          </w:tcPr>
          <w:p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855" w:type="pct"/>
          </w:tcPr>
          <w:p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Wni</w:t>
            </w:r>
            <w:r>
              <w:rPr>
                <w:rFonts w:asciiTheme="majorHAnsi" w:hAnsiTheme="majorHAnsi"/>
                <w:sz w:val="16"/>
                <w:szCs w:val="16"/>
              </w:rPr>
              <w:t>osek wraz z załącznikami został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przygotowan</w:t>
            </w:r>
            <w:r>
              <w:rPr>
                <w:rFonts w:asciiTheme="majorHAnsi" w:hAnsiTheme="majorHAnsi"/>
                <w:sz w:val="16"/>
                <w:szCs w:val="16"/>
              </w:rPr>
              <w:t>y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zgodnie z wymaganiami wskazanymi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Ogłoszeniu o naborze 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>(dotyczy np. podpisu przez prawnie upoważnioną/-ne do reprezentacji Wnioskodawcy osobę/osoby, parafowania/podpisywania dokumentów, opatrzenia datą sporządzenia dokumentu)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E11D4" w:rsidRPr="00F237C7" w:rsidTr="00DE11D4">
        <w:tc>
          <w:tcPr>
            <w:tcW w:w="145" w:type="pct"/>
          </w:tcPr>
          <w:p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855" w:type="pct"/>
          </w:tcPr>
          <w:p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Wniosek o udzielenie wsparcia wraz  z załącznikami nie zawiera innych braków formalnych i/lub oczywistych omyłek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</w:tbl>
    <w:p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 xml:space="preserve"> </w:t>
      </w:r>
    </w:p>
    <w:p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  <w:bookmarkStart w:id="0" w:name="_GoBack"/>
      <w:bookmarkEnd w:id="0"/>
    </w:p>
    <w:p w:rsidR="0082759E" w:rsidRDefault="002A31D1" w:rsidP="002A31D1">
      <w:pPr>
        <w:pStyle w:val="Bezodstpw"/>
        <w:rPr>
          <w:rFonts w:ascii="Times New Roman" w:hAnsi="Times New Roman"/>
          <w:b/>
        </w:rPr>
      </w:pPr>
      <w:r w:rsidRPr="002A31D1">
        <w:rPr>
          <w:rFonts w:ascii="Times New Roman" w:hAnsi="Times New Roman"/>
          <w:b/>
        </w:rPr>
        <w:t>Załącznik nr 8</w:t>
      </w:r>
    </w:p>
    <w:p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:rsidR="00DE11D4" w:rsidRDefault="00DE11D4" w:rsidP="00DE11D4">
      <w:pPr>
        <w:pStyle w:val="Bezodstpw"/>
        <w:jc w:val="center"/>
        <w:rPr>
          <w:b/>
        </w:rPr>
      </w:pPr>
      <w:r w:rsidRPr="00DE11D4">
        <w:rPr>
          <w:b/>
        </w:rPr>
        <w:t xml:space="preserve">TYP nr </w:t>
      </w:r>
      <w:r w:rsidR="002A31D1">
        <w:rPr>
          <w:b/>
        </w:rPr>
        <w:t>9</w:t>
      </w:r>
      <w:r w:rsidRPr="00DE11D4">
        <w:rPr>
          <w:b/>
        </w:rPr>
        <w:t xml:space="preserve"> (</w:t>
      </w:r>
      <w:r w:rsidR="002A31D1">
        <w:rPr>
          <w:b/>
        </w:rPr>
        <w:t>Rewitalizacja małej skali</w:t>
      </w:r>
      <w:r w:rsidR="00312D2D">
        <w:rPr>
          <w:b/>
        </w:rPr>
        <w:t>)</w:t>
      </w:r>
    </w:p>
    <w:p w:rsidR="00DE11D4" w:rsidRPr="00DE11D4" w:rsidRDefault="00DE11D4" w:rsidP="00DE11D4">
      <w:pPr>
        <w:pStyle w:val="Bezodstpw"/>
        <w:jc w:val="center"/>
        <w:rPr>
          <w:b/>
        </w:rPr>
      </w:pPr>
    </w:p>
    <w:p w:rsidR="00DE11D4" w:rsidRDefault="00DE11D4" w:rsidP="00DE11D4">
      <w:pPr>
        <w:pStyle w:val="Bezodstpw"/>
        <w:rPr>
          <w:b/>
        </w:rPr>
      </w:pPr>
    </w:p>
    <w:tbl>
      <w:tblPr>
        <w:tblStyle w:val="Tabela-Siatka"/>
        <w:tblW w:w="5000" w:type="pct"/>
        <w:tblLook w:val="04A0"/>
      </w:tblPr>
      <w:tblGrid>
        <w:gridCol w:w="432"/>
        <w:gridCol w:w="3077"/>
        <w:gridCol w:w="10711"/>
      </w:tblGrid>
      <w:tr w:rsidR="00DE11D4" w:rsidRPr="00ED1971" w:rsidTr="00DE11D4">
        <w:tc>
          <w:tcPr>
            <w:tcW w:w="152" w:type="pct"/>
            <w:shd w:val="clear" w:color="auto" w:fill="BDD6EE" w:themeFill="accent1" w:themeFillTint="66"/>
          </w:tcPr>
          <w:p w:rsidR="00DE11D4" w:rsidRPr="00ED1971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:rsidR="00DE11D4" w:rsidRPr="00ED1971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:rsidR="00DE11D4" w:rsidRPr="00ED1971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DE11D4" w:rsidRPr="00ED1971" w:rsidTr="00DE11D4">
        <w:trPr>
          <w:trHeight w:val="431"/>
        </w:trPr>
        <w:tc>
          <w:tcPr>
            <w:tcW w:w="152" w:type="pct"/>
            <w:vAlign w:val="center"/>
          </w:tcPr>
          <w:p w:rsidR="00DE11D4" w:rsidRPr="00ED1971" w:rsidRDefault="00DE11D4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DE11D4" w:rsidRPr="00BB0FDC" w:rsidRDefault="00DE11D4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:rsidR="00DE11D4" w:rsidRPr="00ED1971" w:rsidRDefault="00DE11D4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DE11D4" w:rsidRPr="00ED1971" w:rsidTr="00DE11D4">
        <w:trPr>
          <w:trHeight w:val="431"/>
        </w:trPr>
        <w:tc>
          <w:tcPr>
            <w:tcW w:w="152" w:type="pct"/>
            <w:vAlign w:val="center"/>
          </w:tcPr>
          <w:p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DE11D4" w:rsidRPr="00ED1971" w:rsidRDefault="00DE11D4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 niż minimalna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większa niż maksymalna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DE11D4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E11D4" w:rsidRPr="00ED1971" w:rsidTr="00DE11D4">
        <w:trPr>
          <w:trHeight w:val="431"/>
        </w:trPr>
        <w:tc>
          <w:tcPr>
            <w:tcW w:w="152" w:type="pct"/>
            <w:vAlign w:val="center"/>
          </w:tcPr>
          <w:p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:rsidR="00DE11D4" w:rsidRPr="00687D1E" w:rsidRDefault="00DE11D4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:rsidR="00DE11D4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DE11D4" w:rsidRPr="00ED1971" w:rsidTr="00DE11D4">
        <w:tc>
          <w:tcPr>
            <w:tcW w:w="152" w:type="pct"/>
            <w:vAlign w:val="center"/>
          </w:tcPr>
          <w:p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:rsidR="00DE11D4" w:rsidRPr="00ED1971" w:rsidRDefault="00DE11D4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</w:tc>
      </w:tr>
      <w:tr w:rsidR="00DE11D4" w:rsidRPr="00ED1971" w:rsidTr="00DE11D4">
        <w:trPr>
          <w:trHeight w:val="452"/>
        </w:trPr>
        <w:tc>
          <w:tcPr>
            <w:tcW w:w="152" w:type="pct"/>
            <w:vAlign w:val="center"/>
          </w:tcPr>
          <w:p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1082" w:type="pct"/>
            <w:vAlign w:val="center"/>
          </w:tcPr>
          <w:p w:rsidR="00DE11D4" w:rsidRPr="00687D1E" w:rsidRDefault="00DE11D4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:rsidR="00DE11D4" w:rsidRPr="00E96F86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:rsidR="00DE11D4" w:rsidRPr="0041505A" w:rsidRDefault="00DE11D4" w:rsidP="00E96F86">
            <w:pPr>
              <w:rPr>
                <w:rFonts w:ascii="Arial" w:hAnsi="Arial" w:cs="Arial"/>
                <w:sz w:val="20"/>
                <w:szCs w:val="20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docelowa/ostateczni odbiorcy wparcia zamieszkują obszar LSR.</w:t>
            </w:r>
          </w:p>
        </w:tc>
      </w:tr>
      <w:tr w:rsidR="00DE11D4" w:rsidRPr="00ED1971" w:rsidTr="00DE11D4">
        <w:tc>
          <w:tcPr>
            <w:tcW w:w="152" w:type="pct"/>
            <w:vAlign w:val="center"/>
          </w:tcPr>
          <w:p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:rsidR="00DE11D4" w:rsidRPr="00ED1971" w:rsidRDefault="00DE11D4" w:rsidP="00E96F86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arunki udzielenia wsparcia (jeśli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dotyczy)</w:t>
            </w:r>
          </w:p>
        </w:tc>
        <w:tc>
          <w:tcPr>
            <w:tcW w:w="3766" w:type="pct"/>
            <w:vAlign w:val="center"/>
          </w:tcPr>
          <w:p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:rsidR="001A012E" w:rsidRDefault="001A012E" w:rsidP="00ED1971">
      <w:pPr>
        <w:pStyle w:val="Bezodstpw"/>
      </w:pPr>
    </w:p>
    <w:p w:rsidR="00DE11D4" w:rsidRDefault="00DE11D4" w:rsidP="00ED1971">
      <w:pPr>
        <w:pStyle w:val="Bezodstpw"/>
      </w:pPr>
    </w:p>
    <w:tbl>
      <w:tblPr>
        <w:tblStyle w:val="Tabela-Siatka"/>
        <w:tblW w:w="5000" w:type="pct"/>
        <w:tblLook w:val="04A0"/>
      </w:tblPr>
      <w:tblGrid>
        <w:gridCol w:w="432"/>
        <w:gridCol w:w="2011"/>
        <w:gridCol w:w="11777"/>
      </w:tblGrid>
      <w:tr w:rsidR="00DE11D4" w:rsidRPr="005B55C3" w:rsidTr="00DE11D4">
        <w:tc>
          <w:tcPr>
            <w:tcW w:w="152" w:type="pct"/>
            <w:shd w:val="clear" w:color="auto" w:fill="BDD6EE" w:themeFill="accent1" w:themeFillTint="66"/>
          </w:tcPr>
          <w:p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DE11D4" w:rsidRPr="005B55C3" w:rsidRDefault="00DE11D4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zawart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we wniosku i załącznikach </w:t>
            </w:r>
            <w:r>
              <w:rPr>
                <w:rFonts w:asciiTheme="majorHAnsi" w:hAnsiTheme="majorHAnsi"/>
                <w:sz w:val="16"/>
                <w:szCs w:val="16"/>
              </w:rPr>
              <w:t>umożliwiają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dokonanie oceny w ramach wymag</w:t>
            </w:r>
            <w:r>
              <w:rPr>
                <w:rFonts w:asciiTheme="majorHAnsi" w:hAnsiTheme="majorHAnsi"/>
                <w:sz w:val="16"/>
                <w:szCs w:val="16"/>
              </w:rPr>
              <w:t>anych kryteriów merytorycznych.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wykazał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związek celów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 celami osi/działan</w:t>
            </w:r>
            <w:r>
              <w:rPr>
                <w:rFonts w:asciiTheme="majorHAnsi" w:hAnsiTheme="majorHAnsi"/>
                <w:sz w:val="16"/>
                <w:szCs w:val="16"/>
              </w:rPr>
              <w:t>ia i dokumentami strategicznymi.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celem(-ami) określonym</w:t>
            </w:r>
            <w:r>
              <w:rPr>
                <w:rFonts w:asciiTheme="majorHAnsi" w:hAnsiTheme="majorHAnsi"/>
                <w:sz w:val="16"/>
                <w:szCs w:val="16"/>
              </w:rPr>
              <w:t>(-nymi) w RPOWP 2014-2020,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precyzyjnie określone -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zostały oszacowane w sposób wiarygodny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 są racjonalne i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Koszty kwalifikowalne operacji nie są współfinansowane w drodze wkładu z funduszy strukturalnych, Funduszu Spójności lub jakiegokolwiek innego unijnego instrumentu finansowego.</w:t>
            </w:r>
          </w:p>
          <w:p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cross-financ</w:t>
            </w:r>
            <w:r>
              <w:rPr>
                <w:rFonts w:asciiTheme="majorHAnsi" w:hAnsiTheme="majorHAnsi"/>
                <w:sz w:val="16"/>
                <w:szCs w:val="16"/>
              </w:rPr>
              <w:t>ingu są zgodne z zapisami SZOOP (jeśli dotyczy).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uprawdopodobnił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uzyskanie odpowiednich praw, pozwoleń, licencji itp. </w:t>
            </w:r>
            <w:r>
              <w:rPr>
                <w:rFonts w:asciiTheme="majorHAnsi" w:hAnsiTheme="majorHAnsi"/>
                <w:sz w:val="16"/>
                <w:szCs w:val="16"/>
              </w:rPr>
              <w:t>(dotyczy ich braku na etapie aplikowania) (jeśli dotyczy).</w:t>
            </w:r>
          </w:p>
          <w:p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ioskodawca posiada odpowiednie zasoby techniczne i ludzkie niezbędne do prawidłowej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wiarygodnie opisał sposób pozysk</w:t>
            </w:r>
            <w:r>
              <w:rPr>
                <w:rFonts w:asciiTheme="majorHAnsi" w:hAnsiTheme="majorHAnsi"/>
                <w:sz w:val="16"/>
                <w:szCs w:val="16"/>
              </w:rPr>
              <w:t>ania tych zasobów (dotyczy ich braku na etapie aplikowania) (jeśli dotyczy).</w:t>
            </w:r>
          </w:p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wiarygodnie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Ź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ródła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jednoznaczne oraz wiarygodne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DE11D4" w:rsidRPr="005B55C3" w:rsidRDefault="00DE11D4" w:rsidP="003E1CC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dokonał analizy czynników ryzyka dotyczących utrzymania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DE11D4" w:rsidRPr="005B55C3" w:rsidRDefault="00DE11D4" w:rsidP="00ED197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E11D4" w:rsidRPr="005B55C3" w:rsidTr="00DE11D4">
        <w:tc>
          <w:tcPr>
            <w:tcW w:w="152" w:type="pct"/>
            <w:vAlign w:val="center"/>
          </w:tcPr>
          <w:p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(jeśli dotyczy)</w:t>
            </w:r>
          </w:p>
        </w:tc>
        <w:tc>
          <w:tcPr>
            <w:tcW w:w="4141" w:type="pct"/>
            <w:vAlign w:val="center"/>
          </w:tcPr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 (jeśli dotyczy).</w:t>
            </w:r>
          </w:p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 (jeśli dotyczy).</w:t>
            </w:r>
          </w:p>
          <w:p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 (jeśli dotyczy).</w:t>
            </w:r>
          </w:p>
        </w:tc>
      </w:tr>
    </w:tbl>
    <w:p w:rsidR="00224DF8" w:rsidRDefault="00224DF8" w:rsidP="00A3069F">
      <w:pPr>
        <w:pStyle w:val="Bezodstpw"/>
      </w:pPr>
    </w:p>
    <w:p w:rsidR="00751AA5" w:rsidRDefault="00751AA5" w:rsidP="00A3069F">
      <w:pPr>
        <w:pStyle w:val="Bezodstpw"/>
      </w:pPr>
    </w:p>
    <w:tbl>
      <w:tblPr>
        <w:tblStyle w:val="Tabela-Siatka"/>
        <w:tblW w:w="5000" w:type="pct"/>
        <w:tblLook w:val="04A0"/>
      </w:tblPr>
      <w:tblGrid>
        <w:gridCol w:w="433"/>
        <w:gridCol w:w="3054"/>
        <w:gridCol w:w="10733"/>
      </w:tblGrid>
      <w:tr w:rsidR="00D02286" w:rsidRPr="005B55C3" w:rsidTr="00D02286">
        <w:tc>
          <w:tcPr>
            <w:tcW w:w="152" w:type="pct"/>
            <w:shd w:val="clear" w:color="auto" w:fill="BDD6EE" w:themeFill="accent1" w:themeFillTint="66"/>
          </w:tcPr>
          <w:p w:rsidR="00D02286" w:rsidRPr="005B55C3" w:rsidRDefault="00D02286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074" w:type="pct"/>
            <w:shd w:val="clear" w:color="auto" w:fill="BDD6EE" w:themeFill="accent1" w:themeFillTint="66"/>
          </w:tcPr>
          <w:p w:rsidR="00D02286" w:rsidRPr="005B55C3" w:rsidRDefault="00D02286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74" w:type="pct"/>
            <w:shd w:val="clear" w:color="auto" w:fill="BDD6EE" w:themeFill="accent1" w:themeFillTint="66"/>
          </w:tcPr>
          <w:p w:rsidR="00D02286" w:rsidRPr="005B55C3" w:rsidRDefault="00D02286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696D54" w:rsidRPr="005B55C3" w:rsidTr="00D02286">
        <w:tc>
          <w:tcPr>
            <w:tcW w:w="5000" w:type="pct"/>
            <w:gridSpan w:val="3"/>
            <w:shd w:val="clear" w:color="auto" w:fill="323E4F" w:themeFill="text2" w:themeFillShade="BF"/>
          </w:tcPr>
          <w:p w:rsidR="00696D54" w:rsidRPr="005B55C3" w:rsidRDefault="00696D54" w:rsidP="002A31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SPECYFICZNE – TYP nr </w:t>
            </w:r>
            <w:r w:rsidR="002A31D1">
              <w:rPr>
                <w:rFonts w:asciiTheme="majorHAnsi" w:hAnsiTheme="majorHAnsi"/>
                <w:b/>
                <w:sz w:val="16"/>
                <w:szCs w:val="16"/>
              </w:rPr>
              <w:t>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(</w:t>
            </w:r>
            <w:r w:rsidR="002A31D1">
              <w:rPr>
                <w:rFonts w:asciiTheme="majorHAnsi" w:hAnsiTheme="majorHAnsi"/>
                <w:b/>
                <w:sz w:val="16"/>
                <w:szCs w:val="16"/>
              </w:rPr>
              <w:t>Rewitalizacja małej skali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2A31D1" w:rsidRPr="005B55C3" w:rsidTr="00D02286">
        <w:tc>
          <w:tcPr>
            <w:tcW w:w="152" w:type="pct"/>
            <w:vAlign w:val="center"/>
          </w:tcPr>
          <w:p w:rsidR="002A31D1" w:rsidRPr="005B55C3" w:rsidRDefault="002A31D1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4" w:type="pct"/>
            <w:vAlign w:val="center"/>
          </w:tcPr>
          <w:p w:rsidR="002A31D1" w:rsidRPr="00696D54" w:rsidRDefault="002A31D1" w:rsidP="007B221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Analiza potrzeb </w:t>
            </w:r>
          </w:p>
        </w:tc>
        <w:tc>
          <w:tcPr>
            <w:tcW w:w="3774" w:type="pct"/>
            <w:vAlign w:val="center"/>
          </w:tcPr>
          <w:p w:rsidR="002A31D1" w:rsidRPr="005B55C3" w:rsidRDefault="002A31D1" w:rsidP="00A06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65648">
              <w:rPr>
                <w:rFonts w:asciiTheme="majorHAnsi" w:hAnsiTheme="majorHAnsi"/>
                <w:sz w:val="16"/>
                <w:szCs w:val="16"/>
              </w:rPr>
              <w:t>Operacja bezpośrednio wpływa na poprawę zdiagnozowanych w analizie społeczno-gospodarczej i urbanistycznej sytuacji problemowych na rewitalizowanym obszarze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2A31D1" w:rsidRPr="005B55C3" w:rsidTr="00D02286">
        <w:tc>
          <w:tcPr>
            <w:tcW w:w="152" w:type="pct"/>
            <w:vAlign w:val="center"/>
          </w:tcPr>
          <w:p w:rsidR="002A31D1" w:rsidRPr="005B55C3" w:rsidRDefault="002A31D1" w:rsidP="00696D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4" w:type="pct"/>
            <w:vAlign w:val="center"/>
          </w:tcPr>
          <w:p w:rsidR="002A31D1" w:rsidRPr="00696D54" w:rsidRDefault="002A31D1" w:rsidP="00696D5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Lokalizacja inwestycji (jeśli dotyczy)</w:t>
            </w:r>
          </w:p>
        </w:tc>
        <w:tc>
          <w:tcPr>
            <w:tcW w:w="3774" w:type="pct"/>
            <w:vAlign w:val="center"/>
          </w:tcPr>
          <w:p w:rsidR="002A31D1" w:rsidRDefault="002A31D1" w:rsidP="00693B8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 przypadku realizacji operacji w mieście powiatowym:</w:t>
            </w:r>
          </w:p>
          <w:p w:rsidR="002A31D1" w:rsidRPr="002A31D1" w:rsidRDefault="002A31D1" w:rsidP="002A31D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   </w:t>
            </w:r>
            <w:r w:rsidRPr="002A31D1">
              <w:rPr>
                <w:rFonts w:asciiTheme="majorHAnsi" w:hAnsiTheme="majorHAnsi"/>
                <w:sz w:val="16"/>
                <w:szCs w:val="16"/>
              </w:rPr>
              <w:t>Całkowita wartość kosztów nie przekracza 1 mln zł;</w:t>
            </w:r>
          </w:p>
          <w:p w:rsidR="002A31D1" w:rsidRPr="005B55C3" w:rsidRDefault="002A31D1" w:rsidP="007B221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   Operacja spełnia definicję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projektów rewitalizacyjnych określoną w Wytycznych w zakresie rewitalizacji w programach operacyjnych na latach 2014-2020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2A31D1" w:rsidRPr="005B55C3" w:rsidTr="00D02286">
        <w:tc>
          <w:tcPr>
            <w:tcW w:w="152" w:type="pct"/>
            <w:vAlign w:val="center"/>
          </w:tcPr>
          <w:p w:rsidR="002A31D1" w:rsidRPr="005B55C3" w:rsidRDefault="002A31D1" w:rsidP="007B0D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74" w:type="pct"/>
            <w:vAlign w:val="center"/>
          </w:tcPr>
          <w:p w:rsidR="002A31D1" w:rsidRPr="00696D54" w:rsidRDefault="002A31D1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Zgodność operacji z zapisami lokalnego programu rewitalizacji lub dokumentami równoważnymi w zakresie rewitalizacji  (jeśli dotyczy)</w:t>
            </w:r>
          </w:p>
        </w:tc>
        <w:tc>
          <w:tcPr>
            <w:tcW w:w="3774" w:type="pct"/>
            <w:vAlign w:val="center"/>
          </w:tcPr>
          <w:p w:rsidR="002A31D1" w:rsidRPr="005B55C3" w:rsidRDefault="002A31D1" w:rsidP="007B221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jest ujęt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we właściwym </w:t>
            </w:r>
            <w:r>
              <w:rPr>
                <w:rFonts w:asciiTheme="majorHAnsi" w:hAnsiTheme="majorHAnsi"/>
                <w:sz w:val="16"/>
                <w:szCs w:val="16"/>
              </w:rPr>
              <w:t>Gminnym/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Lokalnym Programie Rewitalizacji lub w dokumentach równoważnych w zakresie rewitalizacji pozytywnie zaopiniowanym/-ych  podczas jego oceny przez IZ RPO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2A31D1" w:rsidRPr="005B55C3" w:rsidTr="00D02286">
        <w:tc>
          <w:tcPr>
            <w:tcW w:w="152" w:type="pct"/>
            <w:vAlign w:val="center"/>
          </w:tcPr>
          <w:p w:rsidR="002A31D1" w:rsidRPr="005B55C3" w:rsidRDefault="002A31D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74" w:type="pct"/>
            <w:vAlign w:val="center"/>
          </w:tcPr>
          <w:p w:rsidR="002A31D1" w:rsidRPr="00CF5CF8" w:rsidRDefault="002A31D1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Operacja realizowana jest w obszarze kultury oraz nie przekracza wysokości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mln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euro 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kosztów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kwalifikowalnych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(jeśli dotyczy)</w:t>
            </w:r>
          </w:p>
        </w:tc>
        <w:tc>
          <w:tcPr>
            <w:tcW w:w="3774" w:type="pct"/>
            <w:vAlign w:val="center"/>
          </w:tcPr>
          <w:p w:rsidR="002A31D1" w:rsidRPr="005B55C3" w:rsidRDefault="002A31D1" w:rsidP="00A06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dotycz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y inwestycji w zakresie kultury, a jej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wartość ogranicza się do infrastruktury małej skali (</w:t>
            </w:r>
            <w:r>
              <w:rPr>
                <w:rFonts w:asciiTheme="majorHAnsi" w:hAnsiTheme="majorHAnsi"/>
                <w:sz w:val="16"/>
                <w:szCs w:val="16"/>
              </w:rPr>
              <w:t>operacje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o wartości nie większej niż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mln euro kosztó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 kwalifikowalnych). </w:t>
            </w:r>
          </w:p>
        </w:tc>
      </w:tr>
      <w:tr w:rsidR="002A31D1" w:rsidRPr="005B55C3" w:rsidTr="00D02286">
        <w:tc>
          <w:tcPr>
            <w:tcW w:w="152" w:type="pct"/>
            <w:vAlign w:val="center"/>
          </w:tcPr>
          <w:p w:rsidR="002A31D1" w:rsidRPr="005B55C3" w:rsidRDefault="002A31D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74" w:type="pct"/>
            <w:vAlign w:val="center"/>
          </w:tcPr>
          <w:p w:rsidR="002A31D1" w:rsidRPr="00696D54" w:rsidRDefault="002A31D1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Przedmiot operacji</w:t>
            </w:r>
          </w:p>
        </w:tc>
        <w:tc>
          <w:tcPr>
            <w:tcW w:w="3774" w:type="pct"/>
            <w:vAlign w:val="center"/>
          </w:tcPr>
          <w:p w:rsidR="002A31D1" w:rsidRDefault="002A31D1" w:rsidP="00A06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nie dotyczy wyłącznie remontu/modernizacji/przebudowy obiektu bez wpływu na rozwiązanie zdiagnozowanych problemów grupy docelowej.</w:t>
            </w:r>
          </w:p>
        </w:tc>
      </w:tr>
      <w:tr w:rsidR="002A31D1" w:rsidRPr="005B55C3" w:rsidTr="00D02286">
        <w:tc>
          <w:tcPr>
            <w:tcW w:w="152" w:type="pct"/>
            <w:vAlign w:val="center"/>
          </w:tcPr>
          <w:p w:rsidR="002A31D1" w:rsidRPr="005B55C3" w:rsidRDefault="002A31D1" w:rsidP="007B0D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74" w:type="pct"/>
            <w:vAlign w:val="center"/>
          </w:tcPr>
          <w:p w:rsidR="002A31D1" w:rsidRDefault="002A31D1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Realizacja zasady projektowania uniwersalnego</w:t>
            </w:r>
          </w:p>
        </w:tc>
        <w:tc>
          <w:tcPr>
            <w:tcW w:w="3774" w:type="pct"/>
            <w:vAlign w:val="center"/>
          </w:tcPr>
          <w:p w:rsidR="002A31D1" w:rsidRDefault="002A31D1" w:rsidP="00A06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Przewidziano rozwiązania umożliwiające pełne korzystanie</w:t>
            </w:r>
            <w:r w:rsidRPr="00071EDF">
              <w:rPr>
                <w:rFonts w:asciiTheme="majorHAnsi" w:hAnsiTheme="majorHAnsi"/>
                <w:sz w:val="16"/>
                <w:szCs w:val="16"/>
              </w:rPr>
              <w:t xml:space="preserve"> z przekształconej powierzchni publicznej przez osoby z niepełnosprawnością, osoby z ma</w:t>
            </w:r>
            <w:r>
              <w:rPr>
                <w:rFonts w:asciiTheme="majorHAnsi" w:hAnsiTheme="majorHAnsi"/>
                <w:sz w:val="16"/>
                <w:szCs w:val="16"/>
              </w:rPr>
              <w:t>łymi dziećmi oraz osoby starsze.</w:t>
            </w:r>
          </w:p>
        </w:tc>
      </w:tr>
    </w:tbl>
    <w:p w:rsidR="00696D54" w:rsidRDefault="00696D54" w:rsidP="00A3069F">
      <w:pPr>
        <w:pStyle w:val="Bezodstpw"/>
      </w:pPr>
    </w:p>
    <w:p w:rsidR="00460BC5" w:rsidRDefault="00460BC5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B0C84" w:rsidRDefault="003B0C84" w:rsidP="00D84924"/>
    <w:sectPr w:rsidR="003B0C8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9E" w:rsidRDefault="00691B9E" w:rsidP="00E96F86">
      <w:pPr>
        <w:spacing w:after="0" w:line="240" w:lineRule="auto"/>
      </w:pPr>
      <w:r>
        <w:separator/>
      </w:r>
    </w:p>
  </w:endnote>
  <w:endnote w:type="continuationSeparator" w:id="0">
    <w:p w:rsidR="00691B9E" w:rsidRDefault="00691B9E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9" w:rsidRPr="004B3470" w:rsidRDefault="007E5DF9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="001D74AB"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312D2D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:rsidR="005C0719" w:rsidRDefault="00691B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25E2" w:rsidRPr="003825E2" w:rsidRDefault="007E5DF9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="003825E2"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312D2D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:rsidR="005C0719" w:rsidRDefault="00691B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9E" w:rsidRDefault="00691B9E" w:rsidP="00E96F86">
      <w:pPr>
        <w:spacing w:after="0" w:line="240" w:lineRule="auto"/>
      </w:pPr>
      <w:r>
        <w:separator/>
      </w:r>
    </w:p>
  </w:footnote>
  <w:footnote w:type="continuationSeparator" w:id="0">
    <w:p w:rsidR="00691B9E" w:rsidRDefault="00691B9E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9" w:rsidRPr="001B281E" w:rsidRDefault="004A0267" w:rsidP="002A3545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numStart w:val="127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D7A79"/>
    <w:rsid w:val="00014385"/>
    <w:rsid w:val="00027D67"/>
    <w:rsid w:val="00034F7C"/>
    <w:rsid w:val="00035F4E"/>
    <w:rsid w:val="00071EDF"/>
    <w:rsid w:val="000741AE"/>
    <w:rsid w:val="00085A67"/>
    <w:rsid w:val="00093585"/>
    <w:rsid w:val="00110C82"/>
    <w:rsid w:val="001162F2"/>
    <w:rsid w:val="001211E3"/>
    <w:rsid w:val="00155107"/>
    <w:rsid w:val="0017145A"/>
    <w:rsid w:val="001A012E"/>
    <w:rsid w:val="001A453E"/>
    <w:rsid w:val="001B7905"/>
    <w:rsid w:val="001D3981"/>
    <w:rsid w:val="001D556D"/>
    <w:rsid w:val="001D74AB"/>
    <w:rsid w:val="001F1D31"/>
    <w:rsid w:val="001F3EB7"/>
    <w:rsid w:val="00224DF8"/>
    <w:rsid w:val="0026170A"/>
    <w:rsid w:val="00280413"/>
    <w:rsid w:val="00281F51"/>
    <w:rsid w:val="00284B55"/>
    <w:rsid w:val="002A31D1"/>
    <w:rsid w:val="002A7C25"/>
    <w:rsid w:val="002D7A79"/>
    <w:rsid w:val="002E4E06"/>
    <w:rsid w:val="002F00BA"/>
    <w:rsid w:val="00312D2D"/>
    <w:rsid w:val="00325555"/>
    <w:rsid w:val="00337BC2"/>
    <w:rsid w:val="003711AD"/>
    <w:rsid w:val="003751AF"/>
    <w:rsid w:val="00382003"/>
    <w:rsid w:val="003825E2"/>
    <w:rsid w:val="0039438A"/>
    <w:rsid w:val="003B0C84"/>
    <w:rsid w:val="003D1C45"/>
    <w:rsid w:val="003D245E"/>
    <w:rsid w:val="003E1CCC"/>
    <w:rsid w:val="003F03FF"/>
    <w:rsid w:val="004075E8"/>
    <w:rsid w:val="00413C72"/>
    <w:rsid w:val="00424AF8"/>
    <w:rsid w:val="00446D0D"/>
    <w:rsid w:val="00460BC5"/>
    <w:rsid w:val="004A0267"/>
    <w:rsid w:val="004A2A99"/>
    <w:rsid w:val="004F75A9"/>
    <w:rsid w:val="00504771"/>
    <w:rsid w:val="00527155"/>
    <w:rsid w:val="00534058"/>
    <w:rsid w:val="00537D53"/>
    <w:rsid w:val="00552F13"/>
    <w:rsid w:val="00597FE3"/>
    <w:rsid w:val="005B55C3"/>
    <w:rsid w:val="005E2B24"/>
    <w:rsid w:val="005E7CC5"/>
    <w:rsid w:val="00601A20"/>
    <w:rsid w:val="00607A2D"/>
    <w:rsid w:val="00652609"/>
    <w:rsid w:val="00687D1E"/>
    <w:rsid w:val="00691B9E"/>
    <w:rsid w:val="00696D54"/>
    <w:rsid w:val="006D0A06"/>
    <w:rsid w:val="006D5447"/>
    <w:rsid w:val="006E4437"/>
    <w:rsid w:val="00742A5B"/>
    <w:rsid w:val="0074516E"/>
    <w:rsid w:val="00751AA5"/>
    <w:rsid w:val="00782FDF"/>
    <w:rsid w:val="007A45C6"/>
    <w:rsid w:val="007B0DD1"/>
    <w:rsid w:val="007B2216"/>
    <w:rsid w:val="007C4385"/>
    <w:rsid w:val="007E5DF9"/>
    <w:rsid w:val="00823CF8"/>
    <w:rsid w:val="0082759E"/>
    <w:rsid w:val="00836B0D"/>
    <w:rsid w:val="0084060A"/>
    <w:rsid w:val="008432C4"/>
    <w:rsid w:val="00867CAA"/>
    <w:rsid w:val="00887433"/>
    <w:rsid w:val="008B5F18"/>
    <w:rsid w:val="008F373C"/>
    <w:rsid w:val="009252BF"/>
    <w:rsid w:val="00956743"/>
    <w:rsid w:val="00970207"/>
    <w:rsid w:val="009B4FE9"/>
    <w:rsid w:val="009E7185"/>
    <w:rsid w:val="00A038EB"/>
    <w:rsid w:val="00A06551"/>
    <w:rsid w:val="00A166BA"/>
    <w:rsid w:val="00A20E26"/>
    <w:rsid w:val="00A3069F"/>
    <w:rsid w:val="00A42BC8"/>
    <w:rsid w:val="00A705C2"/>
    <w:rsid w:val="00A713DC"/>
    <w:rsid w:val="00A7376C"/>
    <w:rsid w:val="00A9178F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220C8"/>
    <w:rsid w:val="00B46794"/>
    <w:rsid w:val="00B545B0"/>
    <w:rsid w:val="00BA08CC"/>
    <w:rsid w:val="00BB0FDC"/>
    <w:rsid w:val="00BB44D9"/>
    <w:rsid w:val="00BB59D9"/>
    <w:rsid w:val="00BB66E9"/>
    <w:rsid w:val="00BE08D0"/>
    <w:rsid w:val="00BF2991"/>
    <w:rsid w:val="00BF3507"/>
    <w:rsid w:val="00BF7466"/>
    <w:rsid w:val="00C2039A"/>
    <w:rsid w:val="00C52DDD"/>
    <w:rsid w:val="00C557B0"/>
    <w:rsid w:val="00C87C92"/>
    <w:rsid w:val="00CC02FD"/>
    <w:rsid w:val="00CE04CB"/>
    <w:rsid w:val="00CE21B8"/>
    <w:rsid w:val="00CE5E8A"/>
    <w:rsid w:val="00CF5CF8"/>
    <w:rsid w:val="00CF5EF4"/>
    <w:rsid w:val="00D02286"/>
    <w:rsid w:val="00D33A05"/>
    <w:rsid w:val="00D5490E"/>
    <w:rsid w:val="00D70752"/>
    <w:rsid w:val="00D84924"/>
    <w:rsid w:val="00DE11D4"/>
    <w:rsid w:val="00DF5DB9"/>
    <w:rsid w:val="00E24EEB"/>
    <w:rsid w:val="00E30445"/>
    <w:rsid w:val="00E50D9D"/>
    <w:rsid w:val="00E64D5E"/>
    <w:rsid w:val="00E65648"/>
    <w:rsid w:val="00E87365"/>
    <w:rsid w:val="00E87615"/>
    <w:rsid w:val="00E92BD8"/>
    <w:rsid w:val="00E96F86"/>
    <w:rsid w:val="00ED1971"/>
    <w:rsid w:val="00ED71AC"/>
    <w:rsid w:val="00EE33C2"/>
    <w:rsid w:val="00EE37C8"/>
    <w:rsid w:val="00F061F4"/>
    <w:rsid w:val="00F11584"/>
    <w:rsid w:val="00F13E60"/>
    <w:rsid w:val="00F237C7"/>
    <w:rsid w:val="00F4172B"/>
    <w:rsid w:val="00F426B3"/>
    <w:rsid w:val="00F67F6C"/>
    <w:rsid w:val="00F8381C"/>
    <w:rsid w:val="00FA7C1E"/>
    <w:rsid w:val="00FD5B6D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C48A-C341-4504-8FA1-D217A25B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Kasia Misztal</cp:lastModifiedBy>
  <cp:revision>2</cp:revision>
  <cp:lastPrinted>2016-07-13T12:22:00Z</cp:lastPrinted>
  <dcterms:created xsi:type="dcterms:W3CDTF">2016-12-15T10:39:00Z</dcterms:created>
  <dcterms:modified xsi:type="dcterms:W3CDTF">2016-12-15T10:39:00Z</dcterms:modified>
</cp:coreProperties>
</file>